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C70786" w:rsidRDefault="00D23EDA" w:rsidP="00D23EDA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DA" w:rsidRPr="00C70786" w:rsidRDefault="00D23EDA" w:rsidP="005565A7">
      <w:pPr>
        <w:pStyle w:val="a3"/>
        <w:rPr>
          <w:sz w:val="36"/>
          <w:szCs w:val="36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36" w:rsidRDefault="007C753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36" w:rsidRDefault="007C753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36" w:rsidRDefault="00803876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F1EA7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9F1EA7" w:rsidRPr="009F1EA7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9F1EA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gramStart"/>
      <w:r w:rsidR="009F1EA7">
        <w:rPr>
          <w:rFonts w:ascii="Times New Roman" w:hAnsi="Times New Roman" w:cs="Times New Roman"/>
          <w:b/>
          <w:bCs/>
          <w:sz w:val="28"/>
          <w:szCs w:val="28"/>
        </w:rPr>
        <w:t>существенных</w:t>
      </w:r>
      <w:proofErr w:type="gramEnd"/>
      <w:r w:rsidR="009F1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1EA7" w:rsidRPr="009F1EA7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контрактов с участием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Туапсинского района</w:t>
      </w: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 для включения в решения, предусмотренные частью 65.1 статьи 112 </w:t>
      </w:r>
    </w:p>
    <w:p w:rsidR="007C7536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от 5 апреля 2013 № 44-ФЗ </w:t>
      </w:r>
    </w:p>
    <w:p w:rsidR="007C7536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 для обеспечения</w:t>
      </w:r>
      <w:r w:rsidR="007C7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</w:p>
    <w:p w:rsidR="009F1EA7" w:rsidRPr="009F1EA7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>и муниципальных нужд»</w:t>
      </w:r>
    </w:p>
    <w:p w:rsidR="00803876" w:rsidRDefault="00803876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36" w:rsidRDefault="007C7536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36" w:rsidRPr="00803876" w:rsidRDefault="007C7536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6" w:rsidRPr="007C7536" w:rsidRDefault="009F1EA7" w:rsidP="007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36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Федерального закона от 8 марта 2022 г</w:t>
      </w:r>
      <w:r w:rsidR="007C7536" w:rsidRPr="007C75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7536">
        <w:rPr>
          <w:rFonts w:ascii="Times New Roman" w:eastAsia="Calibri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</w:t>
      </w:r>
      <w:r w:rsidR="00803876" w:rsidRPr="007C753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03876" w:rsidRPr="007C7536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803876" w:rsidRPr="007C753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7C7536" w:rsidRPr="007C75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3876" w:rsidRPr="007C7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3876" w:rsidRPr="007C753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03876" w:rsidRPr="007C7536" w:rsidRDefault="00803876" w:rsidP="007C7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53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F1EA7" w:rsidRPr="007C7536">
        <w:rPr>
          <w:rFonts w:ascii="Times New Roman" w:hAnsi="Times New Roman" w:cs="Times New Roman"/>
          <w:bCs/>
          <w:sz w:val="28"/>
          <w:szCs w:val="28"/>
        </w:rPr>
        <w:t xml:space="preserve">изменения существенных условий контрактов с участием </w:t>
      </w:r>
      <w:proofErr w:type="spellStart"/>
      <w:r w:rsidR="009F1EA7" w:rsidRPr="007C7536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9F1EA7" w:rsidRPr="007C753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</w:t>
      </w:r>
      <w:r w:rsidR="009F1EA7" w:rsidRPr="007C7536">
        <w:rPr>
          <w:rFonts w:ascii="Times New Roman" w:hAnsi="Times New Roman" w:cs="Times New Roman"/>
          <w:bCs/>
          <w:sz w:val="28"/>
          <w:szCs w:val="28"/>
        </w:rPr>
        <w:t>для включения в решения, предусмотренные частью 65.1 статьи 112 Федерального закона от 5 апреля 2013</w:t>
      </w:r>
      <w:r w:rsidR="007C753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F1EA7" w:rsidRPr="007C7536">
        <w:rPr>
          <w:rFonts w:ascii="Times New Roman" w:hAnsi="Times New Roman" w:cs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C753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7C75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536" w:rsidRPr="007C7536" w:rsidRDefault="00803876" w:rsidP="007C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3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C7536" w:rsidRPr="007C7536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803876" w:rsidRPr="007C7536" w:rsidRDefault="007C7536" w:rsidP="007C7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социальным, общим и организационно-правовым вопросам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 (Ткаченко И.Е.) </w:t>
      </w:r>
      <w:proofErr w:type="gramStart"/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 телекоммуникационной сети «Интернет» </w:t>
      </w:r>
      <w:hyperlink r:id="rId9" w:history="1">
        <w:r w:rsidR="00803876" w:rsidRPr="007C75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https://adm-nebug.ru</w:t>
        </w:r>
      </w:hyperlink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03876" w:rsidRPr="007C7536" w:rsidRDefault="007C7536" w:rsidP="007C7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</w:t>
      </w:r>
      <w:r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803876" w:rsidRDefault="007C7536" w:rsidP="007C7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3876" w:rsidRPr="007C7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803876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803876" w:rsidRDefault="00803876" w:rsidP="007C7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536" w:rsidRDefault="007C7536" w:rsidP="007C7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76" w:rsidRPr="00803876" w:rsidRDefault="00803876" w:rsidP="0080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Глава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876" w:rsidRPr="00803876" w:rsidSect="007C75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5344"/>
        <w:gridCol w:w="4408"/>
      </w:tblGrid>
      <w:tr w:rsidR="00803876" w:rsidRPr="00803876" w:rsidTr="007C7536">
        <w:tc>
          <w:tcPr>
            <w:tcW w:w="2740" w:type="pct"/>
          </w:tcPr>
          <w:p w:rsidR="00803876" w:rsidRPr="00803876" w:rsidRDefault="00803876" w:rsidP="0080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pct"/>
          </w:tcPr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7536" w:rsidRPr="008038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038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03876" w:rsidRPr="00803876" w:rsidRDefault="0080387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803876" w:rsidRPr="00803876" w:rsidRDefault="007C7536" w:rsidP="007C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03876" w:rsidRPr="00803876" w:rsidRDefault="00803876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F1EA7" w:rsidRPr="009F1EA7" w:rsidRDefault="009F1EA7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A7" w:rsidRPr="009F1EA7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1"/>
      <w:r w:rsidRPr="009F1EA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0318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существенных условий контрактов с участием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Туапсинского района</w:t>
      </w: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 для включения в решения, предусмотренные частью 65.1 </w:t>
      </w:r>
    </w:p>
    <w:p w:rsidR="00830318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статьи 112 Федерального закона от 5 апреля 2013 № 44-ФЗ </w:t>
      </w:r>
    </w:p>
    <w:p w:rsidR="00830318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 для обеспечения</w:t>
      </w:r>
      <w:r w:rsidR="00830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EA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</w:p>
    <w:p w:rsidR="009F1EA7" w:rsidRPr="009F1EA7" w:rsidRDefault="009F1EA7" w:rsidP="007C75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b/>
          <w:bCs/>
          <w:sz w:val="28"/>
          <w:szCs w:val="28"/>
        </w:rPr>
        <w:t>и муниципальных нужд»</w:t>
      </w:r>
    </w:p>
    <w:p w:rsidR="009F1EA7" w:rsidRPr="009F1EA7" w:rsidRDefault="009F1EA7" w:rsidP="009F1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9F1EA7" w:rsidRPr="00415000" w:rsidRDefault="009F1EA7" w:rsidP="009F1EA7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5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/>
          <w:sz w:val="28"/>
          <w:szCs w:val="28"/>
        </w:rPr>
        <w:t>Порядок изменения по соглашению сторон существенных условий государственных</w:t>
      </w:r>
      <w:r>
        <w:rPr>
          <w:rFonts w:ascii="Times New Roman" w:hAnsi="Times New Roman"/>
          <w:sz w:val="28"/>
          <w:szCs w:val="28"/>
        </w:rPr>
        <w:t xml:space="preserve"> (муниципальных)</w:t>
      </w:r>
      <w:r w:rsidRPr="00415000">
        <w:rPr>
          <w:rFonts w:ascii="Times New Roman" w:hAnsi="Times New Roman"/>
          <w:sz w:val="28"/>
          <w:szCs w:val="28"/>
        </w:rPr>
        <w:t xml:space="preserve"> контрактов, контрактов, заключенных </w:t>
      </w:r>
      <w:r w:rsidR="00830318">
        <w:rPr>
          <w:rFonts w:ascii="Times New Roman" w:hAnsi="Times New Roman"/>
          <w:sz w:val="28"/>
          <w:szCs w:val="28"/>
        </w:rPr>
        <w:t xml:space="preserve">                 </w:t>
      </w:r>
      <w:r w:rsidRPr="00415000">
        <w:rPr>
          <w:rFonts w:ascii="Times New Roman" w:hAnsi="Times New Roman"/>
          <w:sz w:val="28"/>
          <w:szCs w:val="28"/>
        </w:rPr>
        <w:t>до 1 января 2023 г</w:t>
      </w:r>
      <w:r w:rsidR="00830318">
        <w:rPr>
          <w:rFonts w:ascii="Times New Roman" w:hAnsi="Times New Roman"/>
          <w:sz w:val="28"/>
          <w:szCs w:val="28"/>
        </w:rPr>
        <w:t>.</w:t>
      </w:r>
      <w:r w:rsidRPr="00415000">
        <w:rPr>
          <w:rFonts w:ascii="Times New Roman" w:hAnsi="Times New Roman"/>
          <w:sz w:val="28"/>
          <w:szCs w:val="28"/>
        </w:rPr>
        <w:t xml:space="preserve">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5</w:t>
      </w:r>
      <w:r w:rsidR="00830318">
        <w:rPr>
          <w:rFonts w:ascii="Times New Roman" w:hAnsi="Times New Roman"/>
          <w:sz w:val="28"/>
          <w:szCs w:val="28"/>
        </w:rPr>
        <w:t xml:space="preserve"> апреля 2</w:t>
      </w:r>
      <w:r w:rsidRPr="00415000">
        <w:rPr>
          <w:rFonts w:ascii="Times New Roman" w:hAnsi="Times New Roman"/>
          <w:sz w:val="28"/>
          <w:szCs w:val="28"/>
        </w:rPr>
        <w:t>013</w:t>
      </w:r>
      <w:r w:rsidR="00830318">
        <w:rPr>
          <w:rFonts w:ascii="Times New Roman" w:hAnsi="Times New Roman"/>
          <w:sz w:val="28"/>
          <w:szCs w:val="28"/>
        </w:rPr>
        <w:t xml:space="preserve"> г.</w:t>
      </w:r>
      <w:r w:rsidRPr="004150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/>
          <w:sz w:val="28"/>
          <w:szCs w:val="28"/>
        </w:rPr>
        <w:t>О контрактной системе в сфере закупок</w:t>
      </w:r>
      <w:proofErr w:type="gramEnd"/>
      <w:r w:rsidRPr="00415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/>
          <w:sz w:val="28"/>
          <w:szCs w:val="28"/>
        </w:rPr>
        <w:t>товаров, работ, услуг для обеспечения государственных и муниципальных нуж</w:t>
      </w:r>
      <w:r>
        <w:rPr>
          <w:rFonts w:ascii="Times New Roman" w:hAnsi="Times New Roman"/>
          <w:sz w:val="28"/>
          <w:szCs w:val="28"/>
        </w:rPr>
        <w:t>д» (далее - З</w:t>
      </w:r>
      <w:r w:rsidRPr="00415000">
        <w:rPr>
          <w:rFonts w:ascii="Times New Roman" w:hAnsi="Times New Roman"/>
          <w:sz w:val="28"/>
          <w:szCs w:val="28"/>
        </w:rPr>
        <w:t xml:space="preserve">акон № 44-ФЗ) в целях обоснования и применения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 w:rsidRPr="00415000">
        <w:rPr>
          <w:rFonts w:ascii="Times New Roman" w:hAnsi="Times New Roman"/>
          <w:sz w:val="28"/>
          <w:szCs w:val="28"/>
        </w:rPr>
        <w:t xml:space="preserve"> правил изменения существенных условий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/>
          <w:sz w:val="28"/>
          <w:szCs w:val="28"/>
        </w:rPr>
        <w:t>Законом №</w:t>
      </w:r>
      <w:r w:rsidRPr="00415000">
        <w:rPr>
          <w:rFonts w:ascii="Times New Roman" w:hAnsi="Times New Roman"/>
          <w:sz w:val="28"/>
          <w:szCs w:val="28"/>
        </w:rPr>
        <w:t xml:space="preserve"> 44-ФЗ до 1 января 2023 г</w:t>
      </w:r>
      <w:r w:rsidR="00830318">
        <w:rPr>
          <w:rFonts w:ascii="Times New Roman" w:hAnsi="Times New Roman"/>
          <w:sz w:val="28"/>
          <w:szCs w:val="28"/>
        </w:rPr>
        <w:t>.</w:t>
      </w:r>
      <w:r w:rsidRPr="00415000">
        <w:rPr>
          <w:rFonts w:ascii="Times New Roman" w:hAnsi="Times New Roman"/>
          <w:sz w:val="28"/>
          <w:szCs w:val="28"/>
        </w:rPr>
        <w:t xml:space="preserve"> (дал</w:t>
      </w:r>
      <w:r>
        <w:rPr>
          <w:rFonts w:ascii="Times New Roman" w:hAnsi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/>
          <w:sz w:val="28"/>
          <w:szCs w:val="28"/>
        </w:rPr>
        <w:t xml:space="preserve"> заказчиками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Небуг</w:t>
      </w:r>
      <w:r w:rsidRPr="002D7A3D">
        <w:rPr>
          <w:rFonts w:ascii="Times New Roman" w:hAnsi="Times New Roman"/>
          <w:sz w:val="28"/>
          <w:szCs w:val="28"/>
        </w:rPr>
        <w:t>ского</w:t>
      </w:r>
      <w:proofErr w:type="spellEnd"/>
      <w:r w:rsidRPr="002D7A3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Туапси</w:t>
      </w:r>
      <w:r w:rsidRPr="002D7A3D">
        <w:rPr>
          <w:rFonts w:ascii="Times New Roman" w:hAnsi="Times New Roman"/>
          <w:sz w:val="28"/>
          <w:szCs w:val="28"/>
        </w:rPr>
        <w:t>нского района</w:t>
      </w:r>
      <w:r w:rsidRPr="00415000">
        <w:rPr>
          <w:rFonts w:ascii="Times New Roman" w:hAnsi="Times New Roman"/>
          <w:sz w:val="28"/>
          <w:szCs w:val="28"/>
        </w:rPr>
        <w:t>, бюджетными (автономными) учреждениями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415000">
        <w:rPr>
          <w:rFonts w:ascii="Times New Roman" w:hAnsi="Times New Roman"/>
          <w:sz w:val="28"/>
          <w:szCs w:val="28"/>
        </w:rPr>
        <w:t>унитарными предприятиями</w:t>
      </w:r>
      <w:r>
        <w:rPr>
          <w:rFonts w:ascii="Times New Roman" w:hAnsi="Times New Roman"/>
          <w:sz w:val="28"/>
          <w:szCs w:val="28"/>
        </w:rPr>
        <w:t>)</w:t>
      </w:r>
      <w:r w:rsidRPr="00415000">
        <w:rPr>
          <w:rFonts w:ascii="Times New Roman" w:hAnsi="Times New Roman"/>
          <w:sz w:val="28"/>
          <w:szCs w:val="28"/>
        </w:rPr>
        <w:t xml:space="preserve"> (далее - заказчики).</w:t>
      </w:r>
      <w:proofErr w:type="gramEnd"/>
    </w:p>
    <w:p w:rsidR="009F1EA7" w:rsidRPr="009F1EA7" w:rsidRDefault="009F1EA7" w:rsidP="009F1EA7">
      <w:pPr>
        <w:pStyle w:val="a7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9F1EA7">
        <w:rPr>
          <w:rFonts w:ascii="Times New Roman" w:hAnsi="Times New Roman" w:cs="Times New Roman"/>
          <w:sz w:val="28"/>
          <w:szCs w:val="28"/>
        </w:rPr>
        <w:t xml:space="preserve"> </w:t>
      </w:r>
      <w:r w:rsidRPr="009F1EA7">
        <w:rPr>
          <w:rFonts w:ascii="Times New Roman" w:hAnsi="Times New Roman" w:cs="Times New Roman"/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9F1EA7" w:rsidRPr="009F1EA7" w:rsidRDefault="009F1EA7" w:rsidP="009F1EA7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>3. В соответствии с</w:t>
      </w:r>
      <w:r w:rsidRPr="009F1EA7">
        <w:rPr>
          <w:rFonts w:ascii="Times New Roman" w:hAnsi="Times New Roman" w:cs="Times New Roman"/>
          <w:sz w:val="28"/>
          <w:szCs w:val="28"/>
        </w:rPr>
        <w:t xml:space="preserve"> частью 65.1 статьи 112 Закона № 44-ФЗ</w:t>
      </w:r>
      <w:r w:rsidRPr="009F1EA7">
        <w:rPr>
          <w:rFonts w:ascii="Times New Roman" w:hAnsi="Times New Roman" w:cs="Times New Roman"/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9F1EA7" w:rsidRPr="009F1EA7" w:rsidRDefault="009F1EA7" w:rsidP="009F1EA7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>1) контракт заключен до 1 января 2023 г</w:t>
      </w:r>
      <w:r w:rsidR="00830318">
        <w:rPr>
          <w:rFonts w:ascii="Times New Roman" w:hAnsi="Times New Roman" w:cs="Times New Roman"/>
          <w:bCs/>
          <w:sz w:val="28"/>
          <w:szCs w:val="28"/>
        </w:rPr>
        <w:t>.;</w:t>
      </w:r>
    </w:p>
    <w:p w:rsidR="009F1EA7" w:rsidRPr="009F1EA7" w:rsidRDefault="009F1EA7" w:rsidP="009F1EA7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 xml:space="preserve">3) наличие решения, принятого </w:t>
      </w:r>
      <w:r w:rsidRPr="009F1EA7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0B6E4A">
        <w:rPr>
          <w:rFonts w:ascii="Times New Roman" w:hAnsi="Times New Roman" w:cs="Times New Roman"/>
          <w:sz w:val="28"/>
          <w:szCs w:val="28"/>
        </w:rPr>
        <w:t>Небуг</w:t>
      </w:r>
      <w:r w:rsidRPr="009F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E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6E4A">
        <w:rPr>
          <w:rFonts w:ascii="Times New Roman" w:hAnsi="Times New Roman" w:cs="Times New Roman"/>
          <w:sz w:val="28"/>
          <w:szCs w:val="28"/>
        </w:rPr>
        <w:t>Туапси</w:t>
      </w:r>
      <w:r w:rsidRPr="009F1EA7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lastRenderedPageBreak/>
        <w:t>4) соблюдение положений частей 1.3-1.6 статьи 95 Закона № 44-ФЗ;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5) предоставление поставщиком (подрядчиком, исполнителем) (далее - поставщик)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F1EA7">
        <w:rPr>
          <w:rFonts w:ascii="Times New Roman" w:hAnsi="Times New Roman" w:cs="Times New Roman"/>
          <w:spacing w:val="-8"/>
          <w:sz w:val="28"/>
          <w:szCs w:val="28"/>
        </w:rPr>
        <w:t xml:space="preserve">4. </w:t>
      </w:r>
      <w:r w:rsidRPr="009F1EA7">
        <w:rPr>
          <w:rFonts w:ascii="Times New Roman" w:eastAsia="Calibri" w:hAnsi="Times New Roman" w:cs="Times New Roman"/>
          <w:sz w:val="28"/>
          <w:szCs w:val="28"/>
        </w:rPr>
        <w:t>Изменение существенных условий контракта</w:t>
      </w:r>
      <w:r w:rsidRPr="009F1EA7">
        <w:rPr>
          <w:rFonts w:ascii="Times New Roman" w:hAnsi="Times New Roman" w:cs="Times New Roman"/>
          <w:sz w:val="28"/>
          <w:szCs w:val="28"/>
        </w:rPr>
        <w:t xml:space="preserve"> по решению главы </w:t>
      </w:r>
      <w:proofErr w:type="spellStart"/>
      <w:r w:rsidR="000B6E4A">
        <w:rPr>
          <w:rFonts w:ascii="Times New Roman" w:hAnsi="Times New Roman" w:cs="Times New Roman"/>
          <w:sz w:val="28"/>
          <w:szCs w:val="28"/>
        </w:rPr>
        <w:t>Небуг</w:t>
      </w:r>
      <w:r w:rsidRPr="009F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E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6E4A">
        <w:rPr>
          <w:rFonts w:ascii="Times New Roman" w:hAnsi="Times New Roman" w:cs="Times New Roman"/>
          <w:sz w:val="28"/>
          <w:szCs w:val="28"/>
        </w:rPr>
        <w:t>Туапси</w:t>
      </w:r>
      <w:r w:rsidRPr="009F1EA7">
        <w:rPr>
          <w:rFonts w:ascii="Times New Roman" w:hAnsi="Times New Roman" w:cs="Times New Roman"/>
          <w:sz w:val="28"/>
          <w:szCs w:val="28"/>
        </w:rPr>
        <w:t xml:space="preserve">нского района осуществляется заказчиком </w:t>
      </w:r>
      <w:proofErr w:type="spellStart"/>
      <w:r w:rsidR="000B6E4A">
        <w:rPr>
          <w:rFonts w:ascii="Times New Roman" w:hAnsi="Times New Roman" w:cs="Times New Roman"/>
          <w:sz w:val="28"/>
          <w:szCs w:val="28"/>
        </w:rPr>
        <w:t>Небуг</w:t>
      </w:r>
      <w:r w:rsidRPr="009F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E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6E4A">
        <w:rPr>
          <w:rFonts w:ascii="Times New Roman" w:hAnsi="Times New Roman" w:cs="Times New Roman"/>
          <w:sz w:val="28"/>
          <w:szCs w:val="28"/>
        </w:rPr>
        <w:t>Туапси</w:t>
      </w:r>
      <w:r w:rsidRPr="009F1EA7">
        <w:rPr>
          <w:rFonts w:ascii="Times New Roman" w:hAnsi="Times New Roman" w:cs="Times New Roman"/>
          <w:sz w:val="28"/>
          <w:szCs w:val="28"/>
        </w:rPr>
        <w:t xml:space="preserve">нского района (далее – заказчик) </w:t>
      </w:r>
      <w:r w:rsidRPr="009F1EA7">
        <w:rPr>
          <w:rFonts w:ascii="Times New Roman" w:hAnsi="Times New Roman" w:cs="Times New Roman"/>
          <w:spacing w:val="-8"/>
          <w:sz w:val="28"/>
          <w:szCs w:val="28"/>
        </w:rPr>
        <w:t>в следующем порядке: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 прилагается  следующая информация и документы: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A7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9F1EA7">
        <w:rPr>
          <w:rFonts w:ascii="Times New Roman" w:hAnsi="Times New Roman" w:cs="Times New Roman"/>
          <w:sz w:val="28"/>
          <w:szCs w:val="28"/>
        </w:rPr>
        <w:t xml:space="preserve"> контракта обстоятельства, влекущие невозможность исполнения контракта).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spacing w:val="-8"/>
          <w:sz w:val="28"/>
          <w:szCs w:val="28"/>
        </w:rPr>
        <w:t xml:space="preserve">2) заказчик </w:t>
      </w:r>
      <w:r w:rsidR="000B6E4A">
        <w:rPr>
          <w:rFonts w:ascii="Times New Roman" w:hAnsi="Times New Roman" w:cs="Times New Roman"/>
          <w:sz w:val="28"/>
          <w:szCs w:val="28"/>
        </w:rPr>
        <w:t>получает от поставщика</w:t>
      </w:r>
      <w:r w:rsidRPr="009F1EA7">
        <w:rPr>
          <w:rFonts w:ascii="Times New Roman" w:hAnsi="Times New Roman" w:cs="Times New Roman"/>
          <w:sz w:val="28"/>
          <w:szCs w:val="28"/>
        </w:rPr>
        <w:t xml:space="preserve"> предложение об изменении существенных условий контракта с приложением информации и документов, подтверждающих </w:t>
      </w:r>
      <w:r w:rsidRPr="009F1EA7">
        <w:rPr>
          <w:rFonts w:ascii="Times New Roman" w:hAnsi="Times New Roman" w:cs="Times New Roman"/>
          <w:bCs/>
          <w:sz w:val="28"/>
          <w:szCs w:val="28"/>
        </w:rPr>
        <w:t>невозможность его исполнения в связи с</w:t>
      </w:r>
      <w:r w:rsidRPr="009F1EA7">
        <w:rPr>
          <w:rFonts w:ascii="Times New Roman" w:hAnsi="Times New Roman" w:cs="Times New Roman"/>
          <w:sz w:val="28"/>
          <w:szCs w:val="28"/>
        </w:rPr>
        <w:t xml:space="preserve"> возникновением независящих от </w:t>
      </w:r>
      <w:proofErr w:type="gramStart"/>
      <w:r w:rsidRPr="009F1EA7">
        <w:rPr>
          <w:rFonts w:ascii="Times New Roman" w:hAnsi="Times New Roman" w:cs="Times New Roman"/>
          <w:sz w:val="28"/>
          <w:szCs w:val="28"/>
        </w:rPr>
        <w:t>сторон контракта обстоятельств, влекущих невозможность его исполнения</w:t>
      </w:r>
      <w:r w:rsidRPr="009F1EA7">
        <w:rPr>
          <w:rFonts w:ascii="Times New Roman" w:hAnsi="Times New Roman" w:cs="Times New Roman"/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 w:rsidRPr="009F1EA7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9F1EA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9F1EA7">
        <w:rPr>
          <w:rFonts w:ascii="Times New Roman" w:hAnsi="Times New Roman" w:cs="Times New Roman"/>
          <w:sz w:val="28"/>
          <w:szCs w:val="28"/>
        </w:rPr>
        <w:t xml:space="preserve"> располагает заказчик;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 проверку соответствия предлагаемой цены контракта рыночной конъюнктуре;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 проверку на соответствие предлагаемых изменений существенных условий контракта требованиям статьи 14  З</w:t>
      </w:r>
      <w:r w:rsidR="000B6E4A">
        <w:rPr>
          <w:rFonts w:ascii="Times New Roman" w:hAnsi="Times New Roman" w:cs="Times New Roman"/>
          <w:sz w:val="28"/>
          <w:szCs w:val="28"/>
        </w:rPr>
        <w:t>акона №</w:t>
      </w:r>
      <w:r w:rsidRPr="009F1EA7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F1EA7">
        <w:rPr>
          <w:rFonts w:ascii="Times New Roman" w:hAnsi="Times New Roman" w:cs="Times New Roman"/>
          <w:sz w:val="28"/>
          <w:szCs w:val="28"/>
        </w:rPr>
        <w:t>- определение объема необходимых дополнительных сре</w:t>
      </w:r>
      <w:proofErr w:type="gramStart"/>
      <w:r w:rsidRPr="009F1E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1EA7">
        <w:rPr>
          <w:rFonts w:ascii="Times New Roman" w:hAnsi="Times New Roman" w:cs="Times New Roman"/>
          <w:sz w:val="28"/>
          <w:szCs w:val="28"/>
        </w:rPr>
        <w:t>я исполнения контракта на новых условиях и их источник финансирования.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lastRenderedPageBreak/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6. Основания для отказа поставщику в изменении существенных условий контракта: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 отсутствие информации и документов, предусмотренных подпунктом 1 пункта 4 настоящего 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 указанные в обосновании обстоятельства не влекут невозможность исполнения контракта;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EA7">
        <w:rPr>
          <w:rFonts w:ascii="Times New Roman" w:hAnsi="Times New Roman" w:cs="Times New Roman"/>
          <w:sz w:val="28"/>
          <w:szCs w:val="28"/>
        </w:rPr>
        <w:t>- предлагаемые изменения существенных условий контракта нарушают требования статьи 14 Закона № 44-ФЗ.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F1EA7">
        <w:rPr>
          <w:rFonts w:ascii="Times New Roman" w:hAnsi="Times New Roman" w:cs="Times New Roman"/>
          <w:spacing w:val="-8"/>
          <w:sz w:val="28"/>
          <w:szCs w:val="28"/>
        </w:rPr>
        <w:t xml:space="preserve">4. Изменение существенных условий контракта осуществляется после вступления в силу соответствующего распоряжения главы </w:t>
      </w:r>
      <w:proofErr w:type="spellStart"/>
      <w:r w:rsidR="000B6E4A">
        <w:rPr>
          <w:rFonts w:ascii="Times New Roman" w:hAnsi="Times New Roman" w:cs="Times New Roman"/>
          <w:spacing w:val="-8"/>
          <w:sz w:val="28"/>
          <w:szCs w:val="28"/>
        </w:rPr>
        <w:t>Небуг</w:t>
      </w:r>
      <w:r w:rsidRPr="009F1EA7">
        <w:rPr>
          <w:rFonts w:ascii="Times New Roman" w:hAnsi="Times New Roman" w:cs="Times New Roman"/>
          <w:spacing w:val="-8"/>
          <w:sz w:val="28"/>
          <w:szCs w:val="28"/>
        </w:rPr>
        <w:t>ского</w:t>
      </w:r>
      <w:proofErr w:type="spellEnd"/>
      <w:r w:rsidRPr="009F1EA7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r w:rsidR="000B6E4A">
        <w:rPr>
          <w:rFonts w:ascii="Times New Roman" w:hAnsi="Times New Roman" w:cs="Times New Roman"/>
          <w:spacing w:val="-8"/>
          <w:sz w:val="28"/>
          <w:szCs w:val="28"/>
        </w:rPr>
        <w:t>Туапсин</w:t>
      </w:r>
      <w:r w:rsidRPr="009F1EA7">
        <w:rPr>
          <w:rFonts w:ascii="Times New Roman" w:hAnsi="Times New Roman" w:cs="Times New Roman"/>
          <w:spacing w:val="-8"/>
          <w:sz w:val="28"/>
          <w:szCs w:val="28"/>
        </w:rPr>
        <w:t>ского района в пределах обоснования дополнительного соглашения об изменении контракта, предоставленного заказчиком.</w:t>
      </w:r>
    </w:p>
    <w:p w:rsidR="009F1EA7" w:rsidRP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A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F1EA7">
        <w:rPr>
          <w:rFonts w:ascii="Times New Roman" w:hAnsi="Times New Roman" w:cs="Times New Roman"/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 заключении 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9F1EA7" w:rsidRDefault="009F1EA7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C46" w:rsidRDefault="00C13C46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18" w:rsidRDefault="00830318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C46" w:rsidRPr="009F1EA7" w:rsidRDefault="00C13C46" w:rsidP="009F1E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C46" w:rsidRPr="00830318" w:rsidRDefault="00C13C46" w:rsidP="008303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83031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C13C46" w:rsidRPr="00830318" w:rsidRDefault="00C13C46" w:rsidP="008303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830318">
        <w:rPr>
          <w:rFonts w:ascii="Times New Roman" w:hAnsi="Times New Roman" w:cs="Times New Roman"/>
          <w:sz w:val="24"/>
          <w:szCs w:val="28"/>
        </w:rPr>
        <w:t xml:space="preserve">к Порядку изменения существенных условий контрактов с участием </w:t>
      </w:r>
      <w:proofErr w:type="spellStart"/>
      <w:r w:rsidRPr="00830318">
        <w:rPr>
          <w:rFonts w:ascii="Times New Roman" w:hAnsi="Times New Roman" w:cs="Times New Roman"/>
          <w:sz w:val="24"/>
          <w:szCs w:val="28"/>
        </w:rPr>
        <w:t>Небугского</w:t>
      </w:r>
      <w:proofErr w:type="spellEnd"/>
      <w:r w:rsidRPr="00830318">
        <w:rPr>
          <w:rFonts w:ascii="Times New Roman" w:hAnsi="Times New Roman" w:cs="Times New Roman"/>
          <w:sz w:val="24"/>
          <w:szCs w:val="28"/>
        </w:rPr>
        <w:t xml:space="preserve"> сельского поселения Туапсинского района  для включения в решения, предусмотренные частью 65.1 статьи 112 Федерального закона </w:t>
      </w:r>
      <w:r w:rsidR="00830318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830318">
        <w:rPr>
          <w:rFonts w:ascii="Times New Roman" w:hAnsi="Times New Roman" w:cs="Times New Roman"/>
          <w:sz w:val="24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ind w:left="538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>Форма</w:t>
      </w: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18" w:rsidRDefault="00C13C46" w:rsidP="0083031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 xml:space="preserve">ОБОСНОВАНИЕ ЗАКЛЮЧЕНИЯ </w:t>
      </w:r>
    </w:p>
    <w:p w:rsidR="00C13C46" w:rsidRPr="00C13C46" w:rsidRDefault="00C13C46" w:rsidP="0083031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</w:p>
    <w:p w:rsidR="00C13C46" w:rsidRPr="00C13C46" w:rsidRDefault="00C13C46" w:rsidP="0083031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 xml:space="preserve">об изменении контракта </w:t>
      </w:r>
      <w:proofErr w:type="gramStart"/>
      <w:r w:rsidRPr="00C13C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3C46">
        <w:rPr>
          <w:rFonts w:ascii="Times New Roman" w:hAnsi="Times New Roman" w:cs="Times New Roman"/>
          <w:sz w:val="28"/>
          <w:szCs w:val="28"/>
        </w:rPr>
        <w:t xml:space="preserve"> ______________№____________________________</w:t>
      </w: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C46">
        <w:rPr>
          <w:rFonts w:ascii="Times New Roman" w:hAnsi="Times New Roman" w:cs="Times New Roman"/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«__________________________________________________________________»  </w:t>
      </w:r>
    </w:p>
    <w:p w:rsidR="00C13C46" w:rsidRPr="00C13C46" w:rsidRDefault="00C13C46" w:rsidP="0083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C46">
        <w:rPr>
          <w:rFonts w:ascii="Times New Roman" w:hAnsi="Times New Roman" w:cs="Times New Roman"/>
          <w:sz w:val="16"/>
          <w:szCs w:val="16"/>
        </w:rPr>
        <w:t>(указывается предмет контракта)</w:t>
      </w:r>
    </w:p>
    <w:p w:rsidR="00C13C46" w:rsidRPr="00C13C46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C13C46" w:rsidRPr="00C13C46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>В связи с обращением ____________________________________________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4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C13C46" w:rsidRPr="00C13C46" w:rsidRDefault="00C13C46" w:rsidP="00830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C13C4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C13C46" w:rsidRPr="00C13C46" w:rsidRDefault="00C13C46" w:rsidP="00830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</w:t>
      </w:r>
      <w:proofErr w:type="spellStart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санкционного</w:t>
      </w:r>
      <w:proofErr w:type="spellEnd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proofErr w:type="spellStart"/>
      <w:r w:rsidRPr="0083031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Panasoni</w:t>
      </w:r>
      <w:proofErr w:type="spellEnd"/>
      <w:proofErr w:type="gramStart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83031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Panasonic</w:t>
      </w:r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83031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(прилагается </w:t>
      </w:r>
      <w:proofErr w:type="spellStart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скрин-шот</w:t>
      </w:r>
      <w:proofErr w:type="spellEnd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 (указать объект закупки и причину невозможности его исполнения)</w:t>
      </w:r>
      <w:r w:rsidR="00830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t>заказчик ____________________________</w:t>
      </w:r>
      <w:r w:rsidR="0083031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13C46" w:rsidRPr="00C13C46" w:rsidRDefault="00C13C46" w:rsidP="00830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13C46">
        <w:rPr>
          <w:rFonts w:ascii="Times New Roman" w:hAnsi="Times New Roman" w:cs="Times New Roman"/>
          <w:color w:val="000000"/>
          <w:sz w:val="16"/>
          <w:szCs w:val="16"/>
        </w:rPr>
        <w:t>(указывается наименование заказчика)</w:t>
      </w:r>
    </w:p>
    <w:p w:rsidR="00C13C46" w:rsidRPr="00C13C46" w:rsidRDefault="00C13C46" w:rsidP="008303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C13C4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13C4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46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C13C46">
        <w:rPr>
          <w:rFonts w:ascii="Times New Roman" w:hAnsi="Times New Roman" w:cs="Times New Roman"/>
          <w:sz w:val="16"/>
          <w:szCs w:val="16"/>
        </w:rPr>
        <w:t xml:space="preserve">(указываются </w:t>
      </w:r>
      <w:proofErr w:type="gramStart"/>
      <w:r w:rsidRPr="00C13C46">
        <w:rPr>
          <w:rFonts w:ascii="Times New Roman" w:hAnsi="Times New Roman" w:cs="Times New Roman"/>
          <w:sz w:val="16"/>
          <w:szCs w:val="16"/>
        </w:rPr>
        <w:t>реестровый</w:t>
      </w:r>
      <w:proofErr w:type="gramEnd"/>
      <w:r w:rsidRPr="00C13C46">
        <w:rPr>
          <w:rFonts w:ascii="Times New Roman" w:hAnsi="Times New Roman" w:cs="Times New Roman"/>
          <w:sz w:val="16"/>
          <w:szCs w:val="16"/>
        </w:rPr>
        <w:t xml:space="preserve"> номер контракта/реквизиты контракта у единственного поставщика (подрядчика, исполнителя))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C13C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4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C13C46">
        <w:rPr>
          <w:rFonts w:ascii="Times New Roman" w:hAnsi="Times New Roman" w:cs="Times New Roman"/>
          <w:sz w:val="16"/>
          <w:szCs w:val="16"/>
        </w:rPr>
        <w:t>(указывается предмет контракта)</w:t>
      </w:r>
    </w:p>
    <w:p w:rsidR="00C13C46" w:rsidRPr="00830318" w:rsidRDefault="00C13C46" w:rsidP="008303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1. </w:t>
      </w:r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C13C46" w:rsidRPr="00830318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.».</w:t>
      </w:r>
      <w:proofErr w:type="gramEnd"/>
    </w:p>
    <w:p w:rsidR="00C13C46" w:rsidRPr="00830318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Внести изменение в спецификацию контракта путем замены товара, изложив пункт 2 в следующей редакции:</w:t>
      </w:r>
    </w:p>
    <w:p w:rsidR="00C13C46" w:rsidRPr="00830318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0318">
        <w:rPr>
          <w:rFonts w:ascii="Times New Roman" w:hAnsi="Times New Roman" w:cs="Times New Roman"/>
          <w:i/>
          <w:color w:val="000000"/>
          <w:sz w:val="28"/>
          <w:szCs w:val="28"/>
        </w:rPr>
        <w:t>«Холодильник Атлант ХМ 6024-080».</w:t>
      </w:r>
    </w:p>
    <w:p w:rsidR="00C13C46" w:rsidRPr="00C13C46" w:rsidRDefault="00C13C46" w:rsidP="00830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gramStart"/>
      <w:r w:rsidRPr="00C13C46">
        <w:rPr>
          <w:rFonts w:ascii="Times New Roman" w:hAnsi="Times New Roman" w:cs="Times New Roman"/>
          <w:color w:val="000000"/>
          <w:sz w:val="28"/>
          <w:szCs w:val="28"/>
        </w:rPr>
        <w:t>прайс листы</w:t>
      </w:r>
      <w:proofErr w:type="gramEnd"/>
      <w:r w:rsidRPr="00C13C46">
        <w:rPr>
          <w:rFonts w:ascii="Times New Roman" w:hAnsi="Times New Roman" w:cs="Times New Roman"/>
          <w:color w:val="000000"/>
          <w:sz w:val="28"/>
          <w:szCs w:val="28"/>
        </w:rPr>
        <w:t>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C13C46" w:rsidRDefault="00C13C46" w:rsidP="0083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18" w:rsidRDefault="00830318" w:rsidP="0083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18" w:rsidRDefault="00C13C46" w:rsidP="0083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C46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Pr="00C13C46">
        <w:rPr>
          <w:rFonts w:ascii="Times New Roman" w:hAnsi="Times New Roman" w:cs="Times New Roman"/>
          <w:sz w:val="28"/>
          <w:szCs w:val="28"/>
        </w:rPr>
        <w:tab/>
      </w:r>
      <w:r w:rsidR="00830318">
        <w:rPr>
          <w:rFonts w:ascii="Times New Roman" w:hAnsi="Times New Roman" w:cs="Times New Roman"/>
          <w:sz w:val="28"/>
          <w:szCs w:val="28"/>
        </w:rPr>
        <w:t>_______________        _____________________</w:t>
      </w:r>
      <w:r w:rsidRPr="00C13C4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303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13C46" w:rsidRPr="00830318" w:rsidRDefault="00830318" w:rsidP="008303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3031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3C46" w:rsidRPr="00830318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</w:p>
    <w:p w:rsidR="00241C36" w:rsidRPr="00803876" w:rsidRDefault="00241C36" w:rsidP="0083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1C36" w:rsidRPr="00803876" w:rsidSect="00830318">
      <w:headerReference w:type="even" r:id="rId16"/>
      <w:headerReference w:type="default" r:id="rId17"/>
      <w:headerReference w:type="first" r:id="rId18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05" w:rsidRDefault="00811705" w:rsidP="00C4762A">
      <w:pPr>
        <w:spacing w:after="0" w:line="240" w:lineRule="auto"/>
      </w:pPr>
      <w:r>
        <w:separator/>
      </w:r>
    </w:p>
  </w:endnote>
  <w:endnote w:type="continuationSeparator" w:id="0">
    <w:p w:rsidR="00811705" w:rsidRDefault="00811705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05" w:rsidRDefault="00811705" w:rsidP="00C4762A">
      <w:pPr>
        <w:spacing w:after="0" w:line="240" w:lineRule="auto"/>
      </w:pPr>
      <w:r>
        <w:separator/>
      </w:r>
    </w:p>
  </w:footnote>
  <w:footnote w:type="continuationSeparator" w:id="0">
    <w:p w:rsidR="00811705" w:rsidRDefault="00811705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16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17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15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19" o:spid="_x0000_s2053" type="#_x0000_t136" style="position:absolute;margin-left:0;margin-top:0;width:452.95pt;height:226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2A" w:rsidRPr="007C7536" w:rsidRDefault="00830318" w:rsidP="007C753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20" o:spid="_x0000_s2054" type="#_x0000_t136" style="position:absolute;margin-left:0;margin-top:0;width:452.95pt;height:226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8" w:rsidRDefault="008303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72118" o:spid="_x0000_s2052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55582"/>
    <w:rsid w:val="000B6E4A"/>
    <w:rsid w:val="000C350C"/>
    <w:rsid w:val="000E2D45"/>
    <w:rsid w:val="000F2218"/>
    <w:rsid w:val="00181C88"/>
    <w:rsid w:val="00241C36"/>
    <w:rsid w:val="00277B69"/>
    <w:rsid w:val="00280229"/>
    <w:rsid w:val="002E310E"/>
    <w:rsid w:val="002E6A1A"/>
    <w:rsid w:val="00310BD5"/>
    <w:rsid w:val="003B62BB"/>
    <w:rsid w:val="00403664"/>
    <w:rsid w:val="004735A5"/>
    <w:rsid w:val="004A7C76"/>
    <w:rsid w:val="004D7780"/>
    <w:rsid w:val="005565A7"/>
    <w:rsid w:val="005A783B"/>
    <w:rsid w:val="006B0D91"/>
    <w:rsid w:val="006B47A5"/>
    <w:rsid w:val="006F5287"/>
    <w:rsid w:val="00706E66"/>
    <w:rsid w:val="0079121F"/>
    <w:rsid w:val="007C7536"/>
    <w:rsid w:val="00803876"/>
    <w:rsid w:val="00807F4C"/>
    <w:rsid w:val="00811705"/>
    <w:rsid w:val="00830318"/>
    <w:rsid w:val="008477BD"/>
    <w:rsid w:val="00893236"/>
    <w:rsid w:val="008C0043"/>
    <w:rsid w:val="009079DD"/>
    <w:rsid w:val="00910FC2"/>
    <w:rsid w:val="009831A5"/>
    <w:rsid w:val="00992D45"/>
    <w:rsid w:val="009B0E0E"/>
    <w:rsid w:val="009F1EA7"/>
    <w:rsid w:val="00AA4546"/>
    <w:rsid w:val="00AB26FC"/>
    <w:rsid w:val="00AC1F03"/>
    <w:rsid w:val="00B60BCC"/>
    <w:rsid w:val="00B82C8D"/>
    <w:rsid w:val="00BF6D88"/>
    <w:rsid w:val="00C02416"/>
    <w:rsid w:val="00C13C46"/>
    <w:rsid w:val="00C20FD8"/>
    <w:rsid w:val="00C31D72"/>
    <w:rsid w:val="00C4762A"/>
    <w:rsid w:val="00C711AA"/>
    <w:rsid w:val="00CF5661"/>
    <w:rsid w:val="00D23EDA"/>
    <w:rsid w:val="00D569A1"/>
    <w:rsid w:val="00D971FC"/>
    <w:rsid w:val="00DC2D09"/>
    <w:rsid w:val="00E33CC0"/>
    <w:rsid w:val="00E8352A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2022-07-20T12:55:00Z</dcterms:created>
  <dcterms:modified xsi:type="dcterms:W3CDTF">2022-07-20T12:55:00Z</dcterms:modified>
</cp:coreProperties>
</file>